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29D0" w:rsidRPr="004829D0" w:rsidRDefault="004829D0" w:rsidP="004829D0">
      <w:pPr>
        <w:rPr>
          <w:b/>
          <w:bCs/>
          <w:lang w:val="en-US"/>
        </w:rPr>
      </w:pPr>
      <w:r w:rsidRPr="004829D0">
        <w:rPr>
          <w:b/>
          <w:bCs/>
          <w:lang w:val="en-US"/>
        </w:rPr>
        <w:t>Eurozone Crisis: The Spanish Ulcer and Monsieur Hollande’s Holiday</w:t>
      </w:r>
    </w:p>
    <w:p w:rsidR="004829D0" w:rsidRPr="004829D0" w:rsidRDefault="004829D0" w:rsidP="004829D0">
      <w:proofErr w:type="gramStart"/>
      <w:r w:rsidRPr="004829D0">
        <w:t>Publié:</w:t>
      </w:r>
      <w:proofErr w:type="gramEnd"/>
      <w:r w:rsidRPr="004829D0">
        <w:t xml:space="preserve"> 30 avril 2012, 17:55 CEST</w:t>
      </w:r>
    </w:p>
    <w:p w:rsidR="004829D0" w:rsidRPr="004829D0" w:rsidRDefault="004829D0" w:rsidP="004829D0">
      <w:pPr>
        <w:rPr>
          <w:b/>
          <w:bCs/>
        </w:rPr>
      </w:pPr>
      <w:r w:rsidRPr="004829D0">
        <w:rPr>
          <w:b/>
          <w:bCs/>
        </w:rPr>
        <w:t>Auteur</w:t>
      </w:r>
    </w:p>
    <w:p w:rsidR="004829D0" w:rsidRPr="004829D0" w:rsidRDefault="004829D0" w:rsidP="004829D0">
      <w:pPr>
        <w:numPr>
          <w:ilvl w:val="0"/>
          <w:numId w:val="1"/>
        </w:numPr>
      </w:pPr>
      <w:hyperlink r:id="rId5" w:history="1">
        <w:r w:rsidRPr="004829D0">
          <w:rPr>
            <w:rStyle w:val="Lienhypertexte"/>
            <w:b/>
            <w:bCs/>
          </w:rPr>
          <w:t>Remy Davison</w:t>
        </w:r>
      </w:hyperlink>
    </w:p>
    <w:p w:rsidR="004829D0" w:rsidRDefault="004829D0" w:rsidP="004829D0">
      <w:pPr>
        <w:rPr>
          <w:lang w:val="en-US"/>
        </w:rPr>
      </w:pPr>
      <w:r w:rsidRPr="004829D0">
        <w:rPr>
          <w:lang w:val="en-US"/>
        </w:rPr>
        <w:t>Jean Monnet Chair in Politics and Economics, Monash University</w:t>
      </w:r>
    </w:p>
    <w:p w:rsidR="00A02454" w:rsidRPr="004829D0" w:rsidRDefault="00A02454" w:rsidP="004829D0">
      <w:pPr>
        <w:rPr>
          <w:lang w:val="en-US"/>
        </w:rPr>
      </w:pPr>
      <w:r w:rsidRPr="00A02454">
        <w:rPr>
          <w:lang w:val="en-US"/>
        </w:rPr>
        <w:t>https://theconversation.com/eurozone-crisis-the-spanish-ulcer-and-monsieur-hollandes-holiday-6765</w:t>
      </w:r>
    </w:p>
    <w:p w:rsidR="004829D0" w:rsidRPr="004829D0" w:rsidRDefault="004829D0" w:rsidP="004829D0">
      <w:r w:rsidRPr="004829D0">
        <w:fldChar w:fldCharType="begin"/>
      </w:r>
      <w:r w:rsidRPr="004829D0">
        <w:instrText xml:space="preserve"> INCLUDEPICTURE "https://images.theconversation.com/files/10144/original/kz9yhdpq-1335799738.jpg?ixlib=rb-4.1.0&amp;q=45&amp;auto=format&amp;w=754&amp;fit=clip" \* MERGEFORMATINET </w:instrText>
      </w:r>
      <w:r w:rsidRPr="004829D0">
        <w:fldChar w:fldCharType="separate"/>
      </w:r>
      <w:r w:rsidRPr="004829D0">
        <w:rPr>
          <w:noProof/>
        </w:rPr>
        <w:drawing>
          <wp:inline distT="0" distB="0" distL="0" distR="0">
            <wp:extent cx="5760720" cy="3712845"/>
            <wp:effectExtent l="0" t="0" r="5080" b="0"/>
            <wp:docPr id="946540502"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712845"/>
                    </a:xfrm>
                    <a:prstGeom prst="rect">
                      <a:avLst/>
                    </a:prstGeom>
                    <a:noFill/>
                    <a:ln>
                      <a:noFill/>
                    </a:ln>
                  </pic:spPr>
                </pic:pic>
              </a:graphicData>
            </a:graphic>
          </wp:inline>
        </w:drawing>
      </w:r>
      <w:r w:rsidRPr="004829D0">
        <w:fldChar w:fldCharType="end"/>
      </w:r>
    </w:p>
    <w:p w:rsidR="004829D0" w:rsidRDefault="004829D0" w:rsidP="004829D0">
      <w:pPr>
        <w:rPr>
          <w:lang w:val="en-US"/>
        </w:rPr>
      </w:pPr>
      <w:r w:rsidRPr="004829D0">
        <w:rPr>
          <w:lang w:val="en-US"/>
        </w:rPr>
        <w:t xml:space="preserve">¡No </w:t>
      </w:r>
      <w:proofErr w:type="spellStart"/>
      <w:r w:rsidRPr="004829D0">
        <w:rPr>
          <w:lang w:val="en-US"/>
        </w:rPr>
        <w:t>Pasarán</w:t>
      </w:r>
      <w:proofErr w:type="spellEnd"/>
      <w:r w:rsidRPr="004829D0">
        <w:rPr>
          <w:lang w:val="en-US"/>
        </w:rPr>
        <w:t>! Spain slides back into recession. montrealgazette.com</w:t>
      </w:r>
    </w:p>
    <w:p w:rsidR="00C439F1" w:rsidRPr="004829D0" w:rsidRDefault="00C439F1" w:rsidP="004829D0">
      <w:pPr>
        <w:rPr>
          <w:lang w:val="en-US"/>
        </w:rPr>
      </w:pPr>
    </w:p>
    <w:p w:rsidR="004829D0" w:rsidRPr="004829D0" w:rsidRDefault="004829D0" w:rsidP="004829D0">
      <w:pPr>
        <w:rPr>
          <w:lang w:val="en-US"/>
        </w:rPr>
      </w:pPr>
      <w:r w:rsidRPr="004829D0">
        <w:rPr>
          <w:lang w:val="en-US"/>
        </w:rPr>
        <w:t>Even as Rafael Nadal gracefully accepted his cheque for €300,000 for winning the Barcelona tennis championship for a seventh time, the Spanish economy relapsed into recession.</w:t>
      </w:r>
    </w:p>
    <w:p w:rsidR="004829D0" w:rsidRPr="004829D0" w:rsidRDefault="004829D0" w:rsidP="004829D0">
      <w:pPr>
        <w:rPr>
          <w:lang w:val="en-US"/>
        </w:rPr>
      </w:pPr>
      <w:r w:rsidRPr="004829D0">
        <w:rPr>
          <w:lang w:val="en-US"/>
        </w:rPr>
        <w:t>In response, markets savaged the IBEX stock index, while ratings agency </w:t>
      </w:r>
      <w:hyperlink r:id="rId7" w:history="1">
        <w:r w:rsidRPr="004829D0">
          <w:rPr>
            <w:rStyle w:val="Lienhypertexte"/>
            <w:lang w:val="en-US"/>
          </w:rPr>
          <w:t xml:space="preserve">Standard &amp; </w:t>
        </w:r>
        <w:proofErr w:type="spellStart"/>
        <w:r w:rsidRPr="004829D0">
          <w:rPr>
            <w:rStyle w:val="Lienhypertexte"/>
            <w:lang w:val="en-US"/>
          </w:rPr>
          <w:t>Poors</w:t>
        </w:r>
        <w:proofErr w:type="spellEnd"/>
        <w:r w:rsidRPr="004829D0">
          <w:rPr>
            <w:rStyle w:val="Lienhypertexte"/>
            <w:lang w:val="en-US"/>
          </w:rPr>
          <w:t xml:space="preserve"> last Thursday downgraded the credit rating of 16 Spanish banks</w:t>
        </w:r>
      </w:hyperlink>
      <w:r w:rsidRPr="004829D0">
        <w:rPr>
          <w:lang w:val="en-US"/>
        </w:rPr>
        <w:t> to BBB+/A-2. </w:t>
      </w:r>
    </w:p>
    <w:p w:rsidR="004829D0" w:rsidRPr="004829D0" w:rsidRDefault="004829D0" w:rsidP="004829D0">
      <w:pPr>
        <w:rPr>
          <w:lang w:val="en-US"/>
        </w:rPr>
      </w:pPr>
      <w:r w:rsidRPr="00C439F1">
        <w:rPr>
          <w:color w:val="ED7D31" w:themeColor="accent2"/>
          <w:lang w:val="en-US"/>
        </w:rPr>
        <w:t xml:space="preserve">For the second time since 2009, Spain recorded negative growth. On </w:t>
      </w:r>
      <w:r w:rsidRPr="004829D0">
        <w:rPr>
          <w:lang w:val="en-US"/>
        </w:rPr>
        <w:t>this occasion, </w:t>
      </w:r>
      <w:hyperlink r:id="rId8" w:history="1">
        <w:r w:rsidRPr="004829D0">
          <w:rPr>
            <w:rStyle w:val="Lienhypertexte"/>
            <w:lang w:val="en-US"/>
          </w:rPr>
          <w:t>the economy shrank 0.3%</w:t>
        </w:r>
      </w:hyperlink>
      <w:r w:rsidRPr="004829D0">
        <w:rPr>
          <w:lang w:val="en-US"/>
        </w:rPr>
        <w:t> in the March quarter, hard on the heels of last week’s news of Britain’s double-dip recession.</w:t>
      </w:r>
    </w:p>
    <w:p w:rsidR="004829D0" w:rsidRDefault="004829D0" w:rsidP="004829D0">
      <w:pPr>
        <w:rPr>
          <w:lang w:val="en-US"/>
        </w:rPr>
      </w:pPr>
      <w:r w:rsidRPr="004829D0">
        <w:rPr>
          <w:lang w:val="en-US"/>
        </w:rPr>
        <w:t>Given the Madrid government’s parlous finances, they might want a piece of Nadal’s cake, as the </w:t>
      </w:r>
      <w:hyperlink r:id="rId9" w:history="1">
        <w:r w:rsidRPr="004829D0">
          <w:rPr>
            <w:rStyle w:val="Lienhypertexte"/>
            <w:lang w:val="en-US"/>
          </w:rPr>
          <w:t>Spanish tax office launched an investigation of Nadal’s companies</w:t>
        </w:r>
      </w:hyperlink>
      <w:r w:rsidRPr="004829D0">
        <w:rPr>
          <w:lang w:val="en-US"/>
        </w:rPr>
        <w:t> in the Basque region in February.</w:t>
      </w:r>
    </w:p>
    <w:p w:rsidR="00C439F1" w:rsidRPr="004829D0" w:rsidRDefault="00C439F1" w:rsidP="004829D0">
      <w:pPr>
        <w:rPr>
          <w:lang w:val="en-US"/>
        </w:rPr>
      </w:pPr>
    </w:p>
    <w:p w:rsidR="004829D0" w:rsidRPr="004829D0" w:rsidRDefault="004829D0" w:rsidP="004829D0">
      <w:pPr>
        <w:rPr>
          <w:lang w:val="en-US"/>
        </w:rPr>
      </w:pPr>
      <w:r w:rsidRPr="00C439F1">
        <w:rPr>
          <w:color w:val="ED7D31" w:themeColor="accent2"/>
          <w:lang w:val="en-US"/>
        </w:rPr>
        <w:t>Spain’s austerity measures have produced almost 25% unemployment</w:t>
      </w:r>
      <w:r w:rsidRPr="004829D0">
        <w:rPr>
          <w:lang w:val="en-US"/>
        </w:rPr>
        <w:t>, although the large number people working in the informal economy exaggerates these figures somewhat. The Spanish finance ministry estimates that the 365,000 lost jobs in March quarter means almost €1 billion in lost tax revenues for Mariano Rajoy’s government.</w:t>
      </w:r>
    </w:p>
    <w:p w:rsidR="004829D0" w:rsidRPr="004829D0" w:rsidRDefault="004829D0" w:rsidP="004829D0">
      <w:r w:rsidRPr="004829D0">
        <w:lastRenderedPageBreak/>
        <w:fldChar w:fldCharType="begin"/>
      </w:r>
      <w:r w:rsidRPr="004829D0">
        <w:instrText xml:space="preserve"> INCLUDEPICTURE "https://images.theconversation.com/files/10145/original/tv5s44p6-1335799996.jpg?ixlib=rb-4.1.0&amp;q=45&amp;auto=format&amp;w=754&amp;fit=clip" \* MERGEFORMATINET </w:instrText>
      </w:r>
      <w:r w:rsidRPr="004829D0">
        <w:fldChar w:fldCharType="separate"/>
      </w:r>
      <w:r w:rsidRPr="004829D0">
        <w:rPr>
          <w:noProof/>
        </w:rPr>
        <w:drawing>
          <wp:inline distT="0" distB="0" distL="0" distR="0">
            <wp:extent cx="5760720" cy="4324350"/>
            <wp:effectExtent l="0" t="0" r="5080" b="6350"/>
            <wp:docPr id="20137076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324350"/>
                    </a:xfrm>
                    <a:prstGeom prst="rect">
                      <a:avLst/>
                    </a:prstGeom>
                    <a:noFill/>
                    <a:ln>
                      <a:noFill/>
                    </a:ln>
                  </pic:spPr>
                </pic:pic>
              </a:graphicData>
            </a:graphic>
          </wp:inline>
        </w:drawing>
      </w:r>
      <w:r w:rsidRPr="004829D0">
        <w:fldChar w:fldCharType="end"/>
      </w:r>
    </w:p>
    <w:p w:rsidR="004829D0" w:rsidRPr="004829D0" w:rsidRDefault="004829D0" w:rsidP="004829D0">
      <w:pPr>
        <w:rPr>
          <w:lang w:val="en-US"/>
        </w:rPr>
      </w:pPr>
      <w:r w:rsidRPr="004829D0">
        <w:rPr>
          <w:lang w:val="en-US"/>
        </w:rPr>
        <w:t>The price of failure: 25% unemployment. businessinsider.com</w:t>
      </w:r>
    </w:p>
    <w:p w:rsidR="004829D0" w:rsidRPr="004829D0" w:rsidRDefault="004829D0" w:rsidP="004829D0">
      <w:pPr>
        <w:rPr>
          <w:lang w:val="en-US"/>
        </w:rPr>
      </w:pPr>
      <w:r w:rsidRPr="004829D0">
        <w:rPr>
          <w:lang w:val="en-US"/>
        </w:rPr>
        <w:t>These unemployment figures put Espana squarely back in 1985. Right before Madrid joined the European Union, to be precise. Back then, Spanish living standards were around 62% of the EU average.</w:t>
      </w:r>
    </w:p>
    <w:p w:rsidR="004829D0" w:rsidRPr="004829D0" w:rsidRDefault="004829D0" w:rsidP="004829D0">
      <w:pPr>
        <w:rPr>
          <w:lang w:val="en-US"/>
        </w:rPr>
      </w:pPr>
      <w:r w:rsidRPr="004829D0">
        <w:rPr>
          <w:b/>
          <w:bCs/>
          <w:lang w:val="en-US"/>
        </w:rPr>
        <w:t>The Spanish Apartment</w:t>
      </w:r>
    </w:p>
    <w:p w:rsidR="004829D0" w:rsidRDefault="004829D0" w:rsidP="004829D0">
      <w:pPr>
        <w:rPr>
          <w:lang w:val="en-US"/>
        </w:rPr>
      </w:pPr>
      <w:r w:rsidRPr="00C439F1">
        <w:rPr>
          <w:color w:val="ED7D31" w:themeColor="accent2"/>
          <w:lang w:val="en-US"/>
        </w:rPr>
        <w:t xml:space="preserve">Why did the Spanish economy collapse </w:t>
      </w:r>
      <w:proofErr w:type="gramStart"/>
      <w:r w:rsidRPr="00C439F1">
        <w:rPr>
          <w:color w:val="ED7D31" w:themeColor="accent2"/>
          <w:lang w:val="en-US"/>
        </w:rPr>
        <w:t>following</w:t>
      </w:r>
      <w:proofErr w:type="gramEnd"/>
      <w:r w:rsidRPr="00C439F1">
        <w:rPr>
          <w:color w:val="ED7D31" w:themeColor="accent2"/>
          <w:lang w:val="en-US"/>
        </w:rPr>
        <w:t xml:space="preserve"> the global financial crisis? One reason is the popping of the property bubble: between 2007 and 2011, property prices officially fell 17%, but some regions saw price collapses of up to 50%. Parts of Spain now look suspiciously like Ireland: </w:t>
      </w:r>
      <w:r w:rsidRPr="004829D0">
        <w:rPr>
          <w:lang w:val="en-US"/>
        </w:rPr>
        <w:t>hundreds of thousands of apartments and houses stand derelict, literally abandoned by their bankrupt developers. </w:t>
      </w:r>
    </w:p>
    <w:p w:rsidR="00C439F1" w:rsidRPr="004829D0" w:rsidRDefault="00C439F1" w:rsidP="004829D0">
      <w:pPr>
        <w:rPr>
          <w:lang w:val="en-US"/>
        </w:rPr>
      </w:pPr>
    </w:p>
    <w:p w:rsidR="004829D0" w:rsidRPr="004829D0" w:rsidRDefault="004829D0" w:rsidP="004829D0">
      <w:pPr>
        <w:rPr>
          <w:lang w:val="en-US"/>
        </w:rPr>
      </w:pPr>
      <w:r w:rsidRPr="004829D0">
        <w:rPr>
          <w:lang w:val="en-US"/>
        </w:rPr>
        <w:t>So, superannuated Brits (if there are any left) and cashed-up Australians can pick up potential bargains, although Spanish banks aren’t too keen to lend on property. </w:t>
      </w:r>
    </w:p>
    <w:p w:rsidR="004829D0" w:rsidRDefault="004829D0" w:rsidP="004829D0">
      <w:pPr>
        <w:rPr>
          <w:lang w:val="en-US"/>
        </w:rPr>
      </w:pPr>
      <w:r w:rsidRPr="004829D0">
        <w:rPr>
          <w:lang w:val="en-US"/>
        </w:rPr>
        <w:t>Moreover, the Spanish government has scrapped the tax incentives that prodded people to invest in property.</w:t>
      </w:r>
    </w:p>
    <w:p w:rsidR="00C439F1" w:rsidRPr="004829D0" w:rsidRDefault="00C439F1" w:rsidP="004829D0">
      <w:pPr>
        <w:rPr>
          <w:lang w:val="en-US"/>
        </w:rPr>
      </w:pPr>
    </w:p>
    <w:p w:rsidR="004829D0" w:rsidRPr="004829D0" w:rsidRDefault="004829D0" w:rsidP="004829D0">
      <w:pPr>
        <w:rPr>
          <w:lang w:val="en-US"/>
        </w:rPr>
      </w:pPr>
      <w:r w:rsidRPr="004829D0">
        <w:rPr>
          <w:b/>
          <w:bCs/>
          <w:lang w:val="en-US"/>
        </w:rPr>
        <w:t>¿</w:t>
      </w:r>
      <w:proofErr w:type="spellStart"/>
      <w:r w:rsidRPr="004829D0">
        <w:rPr>
          <w:b/>
          <w:bCs/>
          <w:lang w:val="en-US"/>
        </w:rPr>
        <w:t>Qué</w:t>
      </w:r>
      <w:proofErr w:type="spellEnd"/>
      <w:r w:rsidRPr="004829D0">
        <w:rPr>
          <w:b/>
          <w:bCs/>
          <w:lang w:val="en-US"/>
        </w:rPr>
        <w:t xml:space="preserve"> </w:t>
      </w:r>
      <w:proofErr w:type="spellStart"/>
      <w:r w:rsidRPr="004829D0">
        <w:rPr>
          <w:b/>
          <w:bCs/>
          <w:lang w:val="en-US"/>
        </w:rPr>
        <w:t>Pasa</w:t>
      </w:r>
      <w:proofErr w:type="spellEnd"/>
    </w:p>
    <w:p w:rsidR="004829D0" w:rsidRPr="00C439F1" w:rsidRDefault="004829D0" w:rsidP="004829D0">
      <w:pPr>
        <w:rPr>
          <w:color w:val="ED7D31" w:themeColor="accent2"/>
          <w:lang w:val="en-US"/>
        </w:rPr>
      </w:pPr>
      <w:r w:rsidRPr="00C439F1">
        <w:rPr>
          <w:color w:val="ED7D31" w:themeColor="accent2"/>
          <w:lang w:val="en-US"/>
        </w:rPr>
        <w:t>Let’s get Real, Madrid: when Spain joined the EU in 1986, it sold off its manufacturing industries – mostly to the Germans – lock, stock and barrel. </w:t>
      </w:r>
    </w:p>
    <w:p w:rsidR="004829D0" w:rsidRPr="004829D0" w:rsidRDefault="004829D0" w:rsidP="004829D0">
      <w:pPr>
        <w:rPr>
          <w:lang w:val="en-US"/>
        </w:rPr>
      </w:pPr>
      <w:r w:rsidRPr="00C439F1">
        <w:rPr>
          <w:color w:val="ED7D31" w:themeColor="accent2"/>
          <w:lang w:val="en-US"/>
        </w:rPr>
        <w:t xml:space="preserve">That left property and tourism to fuel Spain’s largely services-oriented economy. </w:t>
      </w:r>
      <w:r w:rsidRPr="004829D0">
        <w:rPr>
          <w:lang w:val="en-US"/>
        </w:rPr>
        <w:t xml:space="preserve">Sure, there are major, majority-Spanish-owned energy players like Repsol, and some enviable green-tech exporters, but Spain is horribly vulnerable to regional and global financial shocks. </w:t>
      </w:r>
      <w:r w:rsidRPr="00C439F1">
        <w:rPr>
          <w:color w:val="ED7D31" w:themeColor="accent2"/>
          <w:lang w:val="en-US"/>
        </w:rPr>
        <w:t>Adoption of the euro from 1999, which replaced the weak peseta, meant Spanish multinationals spread their wings worldwide, investing in Latin America in particular. </w:t>
      </w:r>
    </w:p>
    <w:p w:rsidR="004829D0" w:rsidRDefault="004829D0" w:rsidP="004829D0">
      <w:pPr>
        <w:rPr>
          <w:lang w:val="en-US"/>
        </w:rPr>
      </w:pPr>
      <w:r w:rsidRPr="00C439F1">
        <w:rPr>
          <w:color w:val="ED7D31" w:themeColor="accent2"/>
          <w:lang w:val="en-US"/>
        </w:rPr>
        <w:lastRenderedPageBreak/>
        <w:t xml:space="preserve">But this also meant that Spanish business didn’t invest in Spain. </w:t>
      </w:r>
      <w:r w:rsidRPr="004829D0">
        <w:rPr>
          <w:lang w:val="en-US"/>
        </w:rPr>
        <w:t>Yes, </w:t>
      </w:r>
      <w:r w:rsidRPr="004829D0">
        <w:rPr>
          <w:i/>
          <w:iCs/>
          <w:lang w:val="en-US"/>
        </w:rPr>
        <w:t>Spain is a net exporter of investment</w:t>
      </w:r>
      <w:r w:rsidRPr="004829D0">
        <w:rPr>
          <w:lang w:val="en-US"/>
        </w:rPr>
        <w:t>(and let’s not get started on how </w:t>
      </w:r>
      <w:hyperlink r:id="rId11" w:history="1">
        <w:r w:rsidRPr="004829D0">
          <w:rPr>
            <w:rStyle w:val="Lienhypertexte"/>
            <w:lang w:val="en-US"/>
          </w:rPr>
          <w:t>Argentina is rapidly nationalizing Spanish-owned assets</w:t>
        </w:r>
      </w:hyperlink>
      <w:r w:rsidRPr="004829D0">
        <w:rPr>
          <w:lang w:val="en-US"/>
        </w:rPr>
        <w:t xml:space="preserve">). Its largest source of FDI is France (over 40%), although this largely comprises French firms </w:t>
      </w:r>
      <w:proofErr w:type="spellStart"/>
      <w:r w:rsidRPr="004829D0">
        <w:rPr>
          <w:lang w:val="en-US"/>
        </w:rPr>
        <w:t>funnelling</w:t>
      </w:r>
      <w:proofErr w:type="spellEnd"/>
      <w:r w:rsidRPr="004829D0">
        <w:rPr>
          <w:lang w:val="en-US"/>
        </w:rPr>
        <w:t xml:space="preserve"> resources into their Spanish subsidiaries. The UK is the second-largest investor in Spain, although property and investment incentives have driven British cash to Spain</w:t>
      </w:r>
    </w:p>
    <w:p w:rsidR="00C439F1" w:rsidRPr="004829D0" w:rsidRDefault="00C439F1" w:rsidP="004829D0">
      <w:pPr>
        <w:rPr>
          <w:lang w:val="en-US"/>
        </w:rPr>
      </w:pPr>
    </w:p>
    <w:p w:rsidR="004829D0" w:rsidRPr="004829D0" w:rsidRDefault="004829D0" w:rsidP="004829D0">
      <w:pPr>
        <w:rPr>
          <w:lang w:val="en-US"/>
        </w:rPr>
      </w:pPr>
      <w:r w:rsidRPr="004829D0">
        <w:rPr>
          <w:b/>
          <w:bCs/>
          <w:lang w:val="en-US"/>
        </w:rPr>
        <w:t>The rain in Spain turns quickly into pain</w:t>
      </w:r>
    </w:p>
    <w:p w:rsidR="004829D0" w:rsidRPr="00C439F1" w:rsidRDefault="004829D0" w:rsidP="004829D0">
      <w:pPr>
        <w:rPr>
          <w:color w:val="ED7D31" w:themeColor="accent2"/>
          <w:lang w:val="en-US"/>
        </w:rPr>
      </w:pPr>
      <w:r w:rsidRPr="00C439F1">
        <w:rPr>
          <w:color w:val="ED7D31" w:themeColor="accent2"/>
          <w:lang w:val="en-US"/>
        </w:rPr>
        <w:t>Property investment and home ownership is just great – when it’s bubbling. But it’s also dead capital subsidized by government tax incentives (much like negative gearing in Australia). As </w:t>
      </w:r>
      <w:hyperlink r:id="rId12" w:history="1">
        <w:r w:rsidRPr="00C439F1">
          <w:rPr>
            <w:rStyle w:val="Lienhypertexte"/>
            <w:color w:val="ED7D31" w:themeColor="accent2"/>
            <w:lang w:val="en-US"/>
          </w:rPr>
          <w:t>The Economist reported in 2011,</w:t>
        </w:r>
      </w:hyperlink>
      <w:r w:rsidRPr="00C439F1">
        <w:rPr>
          <w:color w:val="ED7D31" w:themeColor="accent2"/>
          <w:lang w:val="en-US"/>
        </w:rPr>
        <w:t> Spain emerged as one of the most overvalued property markets in the world by 2011. </w:t>
      </w:r>
    </w:p>
    <w:p w:rsidR="004829D0" w:rsidRDefault="004829D0" w:rsidP="004829D0">
      <w:pPr>
        <w:rPr>
          <w:lang w:val="en-US"/>
        </w:rPr>
      </w:pPr>
      <w:r w:rsidRPr="004829D0">
        <w:rPr>
          <w:lang w:val="en-US"/>
        </w:rPr>
        <w:t>Four years ago, many Spaniards were considering a second (holiday) home. Now, some are wondering whether they will soon be homeless – if they aren’t already.</w:t>
      </w:r>
    </w:p>
    <w:p w:rsidR="00C439F1" w:rsidRPr="004829D0" w:rsidRDefault="00C439F1" w:rsidP="004829D0">
      <w:pPr>
        <w:rPr>
          <w:lang w:val="en-US"/>
        </w:rPr>
      </w:pPr>
    </w:p>
    <w:p w:rsidR="004829D0" w:rsidRPr="004829D0" w:rsidRDefault="004829D0" w:rsidP="004829D0">
      <w:pPr>
        <w:rPr>
          <w:lang w:val="en-US"/>
        </w:rPr>
      </w:pPr>
      <w:r w:rsidRPr="004829D0">
        <w:rPr>
          <w:b/>
          <w:bCs/>
          <w:lang w:val="en-US"/>
        </w:rPr>
        <w:t>Meanwhile, in Gay Paree…</w:t>
      </w:r>
    </w:p>
    <w:p w:rsidR="004829D0" w:rsidRPr="004829D0" w:rsidRDefault="004829D0" w:rsidP="004829D0">
      <w:pPr>
        <w:rPr>
          <w:lang w:val="en-US"/>
        </w:rPr>
      </w:pPr>
      <w:r w:rsidRPr="004829D0">
        <w:rPr>
          <w:lang w:val="en-US"/>
        </w:rPr>
        <w:t xml:space="preserve">Super </w:t>
      </w:r>
      <w:proofErr w:type="spellStart"/>
      <w:r w:rsidRPr="004829D0">
        <w:rPr>
          <w:lang w:val="en-US"/>
        </w:rPr>
        <w:t>Sarko</w:t>
      </w:r>
      <w:proofErr w:type="spellEnd"/>
      <w:r w:rsidRPr="004829D0">
        <w:rPr>
          <w:lang w:val="en-US"/>
        </w:rPr>
        <w:t>, aka President Nicolas Sarkozy, is just days away from having his swashbuckling career cut short. </w:t>
      </w:r>
    </w:p>
    <w:p w:rsidR="004829D0" w:rsidRDefault="004829D0" w:rsidP="004829D0">
      <w:pPr>
        <w:rPr>
          <w:lang w:val="en-US"/>
        </w:rPr>
      </w:pPr>
      <w:r w:rsidRPr="004829D0">
        <w:rPr>
          <w:lang w:val="en-US"/>
        </w:rPr>
        <w:t xml:space="preserve">His opponent, the bookish Socialist, François Hollande, appears too far ahead – 10%, according to some polls, 6% in others – for Sarkozy to catch him, even if the President’s Union pour un </w:t>
      </w:r>
      <w:proofErr w:type="spellStart"/>
      <w:r w:rsidRPr="004829D0">
        <w:rPr>
          <w:lang w:val="en-US"/>
        </w:rPr>
        <w:t>Mouvement</w:t>
      </w:r>
      <w:proofErr w:type="spellEnd"/>
      <w:r w:rsidRPr="004829D0">
        <w:rPr>
          <w:lang w:val="en-US"/>
        </w:rPr>
        <w:t xml:space="preserve"> Populaire (UMP) party were to obtain most of the support gained by the Front National’s Marine Le Pen in the first round.</w:t>
      </w:r>
    </w:p>
    <w:p w:rsidR="00C439F1" w:rsidRPr="004829D0" w:rsidRDefault="00C439F1" w:rsidP="004829D0">
      <w:pPr>
        <w:rPr>
          <w:lang w:val="en-US"/>
        </w:rPr>
      </w:pPr>
    </w:p>
    <w:p w:rsidR="004829D0" w:rsidRPr="004829D0" w:rsidRDefault="004829D0" w:rsidP="004829D0">
      <w:pPr>
        <w:rPr>
          <w:lang w:val="en-US"/>
        </w:rPr>
      </w:pPr>
      <w:r w:rsidRPr="004829D0">
        <w:rPr>
          <w:lang w:val="en-US"/>
        </w:rPr>
        <w:t>Now Hollande’s prospective election poses new challenges for the beleaguered Eurozone. German Chancellor Angela Merkel hasn’t even bothered awaiting the French election result, deriding Hollande’s calls to renegotiate the fiscal compact crafted by Sarkozy and Merkel in 2011–12, and formalized in March this year.</w:t>
      </w:r>
    </w:p>
    <w:p w:rsidR="004829D0" w:rsidRDefault="004829D0" w:rsidP="004829D0">
      <w:pPr>
        <w:rPr>
          <w:lang w:val="en-US"/>
        </w:rPr>
      </w:pPr>
      <w:r w:rsidRPr="004829D0">
        <w:rPr>
          <w:lang w:val="en-US"/>
        </w:rPr>
        <w:t xml:space="preserve">Hollande may talk tough, but his </w:t>
      </w:r>
      <w:r w:rsidRPr="00C439F1">
        <w:rPr>
          <w:color w:val="ED7D31" w:themeColor="accent2"/>
          <w:lang w:val="en-US"/>
        </w:rPr>
        <w:t xml:space="preserve">options are limited, as the more disciplined fiscal regime implemented under the Berlin-Paris axis since March 2012 is now carved in hard EU law </w:t>
      </w:r>
      <w:r w:rsidRPr="004829D0">
        <w:rPr>
          <w:lang w:val="en-US"/>
        </w:rPr>
        <w:t>(even if Ireland knocks the compact back, the EU will simply proceed without Dublin).</w:t>
      </w:r>
    </w:p>
    <w:p w:rsidR="00C439F1" w:rsidRPr="004829D0" w:rsidRDefault="00C439F1" w:rsidP="004829D0">
      <w:pPr>
        <w:rPr>
          <w:lang w:val="en-US"/>
        </w:rPr>
      </w:pPr>
    </w:p>
    <w:p w:rsidR="004829D0" w:rsidRPr="004829D0" w:rsidRDefault="004829D0" w:rsidP="004829D0">
      <w:pPr>
        <w:rPr>
          <w:lang w:val="en-US"/>
        </w:rPr>
      </w:pPr>
      <w:r w:rsidRPr="004829D0">
        <w:rPr>
          <w:lang w:val="en-US"/>
        </w:rPr>
        <w:t>Hollande wants to spend his way out of trouble, and this would involve mutualizing Eurozone debt by employing the (theoretically unlimited) resources of the European Central Bank and issuing EU-backed debt bonds (not to be confused with ‘</w:t>
      </w:r>
      <w:proofErr w:type="spellStart"/>
      <w:r w:rsidRPr="004829D0">
        <w:rPr>
          <w:lang w:val="en-US"/>
        </w:rPr>
        <w:t>eurobonds</w:t>
      </w:r>
      <w:proofErr w:type="spellEnd"/>
      <w:r w:rsidRPr="004829D0">
        <w:rPr>
          <w:lang w:val="en-US"/>
        </w:rPr>
        <w:t>’ which have been around since 1960).</w:t>
      </w:r>
    </w:p>
    <w:p w:rsidR="004829D0" w:rsidRDefault="004829D0" w:rsidP="004829D0">
      <w:pPr>
        <w:rPr>
          <w:lang w:val="en-US"/>
        </w:rPr>
      </w:pPr>
      <w:r w:rsidRPr="004829D0">
        <w:rPr>
          <w:lang w:val="en-US"/>
        </w:rPr>
        <w:t>Hollande does hold one ace in his hand: if the Socialist Party (PS) wins a parliamentary majority, as well as the keys to the Elysée Palace, then the PS can block ratification of the Eurozone compact, until Hollande extracts some compromises from Berlin. </w:t>
      </w:r>
    </w:p>
    <w:p w:rsidR="00C439F1" w:rsidRPr="004829D0" w:rsidRDefault="00C439F1" w:rsidP="004829D0">
      <w:pPr>
        <w:rPr>
          <w:lang w:val="en-US"/>
        </w:rPr>
      </w:pPr>
    </w:p>
    <w:p w:rsidR="004829D0" w:rsidRPr="004829D0" w:rsidRDefault="004829D0" w:rsidP="004829D0">
      <w:pPr>
        <w:rPr>
          <w:lang w:val="en-US"/>
        </w:rPr>
      </w:pPr>
      <w:r w:rsidRPr="004829D0">
        <w:rPr>
          <w:lang w:val="en-US"/>
        </w:rPr>
        <w:t xml:space="preserve">The PS’s official platform is to renegotiate the fiscal compact, but </w:t>
      </w:r>
      <w:r w:rsidRPr="00C439F1">
        <w:rPr>
          <w:color w:val="ED7D31" w:themeColor="accent2"/>
          <w:lang w:val="en-US"/>
        </w:rPr>
        <w:t>the realities of office, the resolution of Merkel (who declared reopening debate on the matter “futile”), combined with the Bundesbank’s refusal to countenance anything but austerity measures to rein in Europe’s chronic deficits.</w:t>
      </w:r>
    </w:p>
    <w:p w:rsidR="004829D0" w:rsidRPr="004829D0" w:rsidRDefault="004829D0" w:rsidP="004829D0">
      <w:pPr>
        <w:rPr>
          <w:lang w:val="en-US"/>
        </w:rPr>
      </w:pPr>
      <w:r w:rsidRPr="004829D0">
        <w:rPr>
          <w:lang w:val="en-US"/>
        </w:rPr>
        <w:t>A Holland victory would see the Socialists in the Elysée for only the second time since World War II. In 1981, François Mitterrand won an historic victory in coalition with the Communist Party, which resulted in a series of disastrous nationalizations, followed by a dramatic </w:t>
      </w:r>
      <w:r w:rsidRPr="004829D0">
        <w:rPr>
          <w:i/>
          <w:iCs/>
          <w:lang w:val="en-US"/>
        </w:rPr>
        <w:t>volte-face</w:t>
      </w:r>
      <w:r w:rsidRPr="004829D0">
        <w:rPr>
          <w:lang w:val="en-US"/>
        </w:rPr>
        <w:t xml:space="preserve"> in 1983. Mitterrand abandoned nationalization and, ultimately, turned to deregulation </w:t>
      </w:r>
      <w:r w:rsidRPr="004829D0">
        <w:rPr>
          <w:lang w:val="en-US"/>
        </w:rPr>
        <w:lastRenderedPageBreak/>
        <w:t>and privatization, championed largely by his Gaullist Prime Minister (and future president), Jacques Chirac.</w:t>
      </w:r>
    </w:p>
    <w:p w:rsidR="004829D0" w:rsidRPr="004829D0" w:rsidRDefault="004829D0" w:rsidP="004829D0">
      <w:pPr>
        <w:rPr>
          <w:lang w:val="en-US"/>
        </w:rPr>
      </w:pPr>
      <w:r w:rsidRPr="004829D0">
        <w:rPr>
          <w:lang w:val="en-US"/>
        </w:rPr>
        <w:t>France and Hollande no longer have these policy options on the table. France and Germany have run the EU for so long, a fracturing of the relationship would have dire consequences for Eurozone policy. But Hollande has some unlikely allies in the Netherlands and ECB President Mario Draghi, who has called for a ‘growth pact’ to offset the austerity measures. </w:t>
      </w:r>
    </w:p>
    <w:p w:rsidR="00C439F1" w:rsidRDefault="004829D0" w:rsidP="004829D0">
      <w:pPr>
        <w:rPr>
          <w:lang w:val="en-US"/>
        </w:rPr>
      </w:pPr>
      <w:r w:rsidRPr="004829D0">
        <w:rPr>
          <w:lang w:val="en-US"/>
        </w:rPr>
        <w:t>For Merkel, ‘growth pacts’ are code for financial indiscipline and fiscal laxity. But Europeans have tried austerity for four years; the votes are in, and they don’t like the results.</w:t>
      </w:r>
    </w:p>
    <w:p w:rsidR="004829D0" w:rsidRPr="004829D0" w:rsidRDefault="004829D0" w:rsidP="004829D0">
      <w:pPr>
        <w:rPr>
          <w:lang w:val="en-US"/>
        </w:rPr>
      </w:pPr>
      <w:r w:rsidRPr="004829D0">
        <w:rPr>
          <w:lang w:val="en-US"/>
        </w:rPr>
        <w:t> </w:t>
      </w:r>
    </w:p>
    <w:p w:rsidR="004829D0" w:rsidRPr="004829D0" w:rsidRDefault="004829D0" w:rsidP="004829D0">
      <w:pPr>
        <w:rPr>
          <w:lang w:val="en-US"/>
        </w:rPr>
      </w:pPr>
      <w:r w:rsidRPr="004829D0">
        <w:rPr>
          <w:lang w:val="en-US"/>
        </w:rPr>
        <w:t xml:space="preserve">Frankly, Europeans can vote out every conservative/centrist/socialist government they like and replace them with the opposition, but it won’t make a </w:t>
      </w:r>
      <w:proofErr w:type="spellStart"/>
      <w:r w:rsidRPr="004829D0">
        <w:rPr>
          <w:lang w:val="en-US"/>
        </w:rPr>
        <w:t>jot</w:t>
      </w:r>
      <w:proofErr w:type="spellEnd"/>
      <w:r w:rsidRPr="004829D0">
        <w:rPr>
          <w:lang w:val="en-US"/>
        </w:rPr>
        <w:t xml:space="preserve"> of difference to either the EU’s financial instability or fiscal austerity. </w:t>
      </w:r>
    </w:p>
    <w:p w:rsidR="004829D0" w:rsidRPr="004829D0" w:rsidRDefault="004829D0" w:rsidP="004829D0">
      <w:pPr>
        <w:rPr>
          <w:lang w:val="en-US"/>
        </w:rPr>
      </w:pPr>
      <w:r w:rsidRPr="004829D0">
        <w:rPr>
          <w:lang w:val="en-US"/>
        </w:rPr>
        <w:t>If you believe David Cameron, Europeans are </w:t>
      </w:r>
      <w:hyperlink r:id="rId13" w:history="1">
        <w:r w:rsidRPr="004829D0">
          <w:rPr>
            <w:rStyle w:val="Lienhypertexte"/>
            <w:lang w:val="en-US"/>
          </w:rPr>
          <w:t>only half-way through the Eurozone crisis.</w:t>
        </w:r>
      </w:hyperlink>
      <w:r w:rsidRPr="004829D0">
        <w:rPr>
          <w:lang w:val="en-US"/>
        </w:rPr>
        <w:t> Politicians better buckle up: there are many more winters of voter discontent to come. As wise old Rene Descartes was wont to say, “it is a mark of prudence never to place our complete trust in those who have deceived us even once.”</w:t>
      </w:r>
    </w:p>
    <w:p w:rsidR="004829D0" w:rsidRPr="004829D0" w:rsidRDefault="004829D0">
      <w:pPr>
        <w:rPr>
          <w:lang w:val="en-US"/>
        </w:rPr>
      </w:pPr>
    </w:p>
    <w:sectPr w:rsidR="004829D0" w:rsidRPr="0048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43BEE"/>
    <w:multiLevelType w:val="multilevel"/>
    <w:tmpl w:val="B7164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9462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9D0"/>
    <w:rsid w:val="004829D0"/>
    <w:rsid w:val="00A02454"/>
    <w:rsid w:val="00B26C3D"/>
    <w:rsid w:val="00C439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6D610"/>
  <w15:chartTrackingRefBased/>
  <w15:docId w15:val="{4A4B7567-06A6-BA44-B86B-2B527C7A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829D0"/>
    <w:rPr>
      <w:color w:val="0563C1" w:themeColor="hyperlink"/>
      <w:u w:val="single"/>
    </w:rPr>
  </w:style>
  <w:style w:type="character" w:styleId="Mentionnonrsolue">
    <w:name w:val="Unresolved Mention"/>
    <w:basedOn w:val="Policepardfaut"/>
    <w:uiPriority w:val="99"/>
    <w:semiHidden/>
    <w:unhideWhenUsed/>
    <w:rsid w:val="004829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651545">
      <w:bodyDiv w:val="1"/>
      <w:marLeft w:val="0"/>
      <w:marRight w:val="0"/>
      <w:marTop w:val="0"/>
      <w:marBottom w:val="0"/>
      <w:divBdr>
        <w:top w:val="none" w:sz="0" w:space="0" w:color="auto"/>
        <w:left w:val="none" w:sz="0" w:space="0" w:color="auto"/>
        <w:bottom w:val="none" w:sz="0" w:space="0" w:color="auto"/>
        <w:right w:val="none" w:sz="0" w:space="0" w:color="auto"/>
      </w:divBdr>
      <w:divsChild>
        <w:div w:id="379473309">
          <w:marLeft w:val="0"/>
          <w:marRight w:val="300"/>
          <w:marTop w:val="0"/>
          <w:marBottom w:val="0"/>
          <w:divBdr>
            <w:top w:val="none" w:sz="0" w:space="0" w:color="auto"/>
            <w:left w:val="none" w:sz="0" w:space="0" w:color="auto"/>
            <w:bottom w:val="none" w:sz="0" w:space="0" w:color="auto"/>
            <w:right w:val="none" w:sz="0" w:space="0" w:color="auto"/>
          </w:divBdr>
          <w:divsChild>
            <w:div w:id="76365148">
              <w:marLeft w:val="0"/>
              <w:marRight w:val="0"/>
              <w:marTop w:val="0"/>
              <w:marBottom w:val="0"/>
              <w:divBdr>
                <w:top w:val="none" w:sz="0" w:space="0" w:color="auto"/>
                <w:left w:val="none" w:sz="0" w:space="0" w:color="auto"/>
                <w:bottom w:val="none" w:sz="0" w:space="0" w:color="auto"/>
                <w:right w:val="none" w:sz="0" w:space="0" w:color="auto"/>
              </w:divBdr>
              <w:divsChild>
                <w:div w:id="1449160872">
                  <w:marLeft w:val="0"/>
                  <w:marRight w:val="0"/>
                  <w:marTop w:val="0"/>
                  <w:marBottom w:val="0"/>
                  <w:divBdr>
                    <w:top w:val="none" w:sz="0" w:space="0" w:color="auto"/>
                    <w:left w:val="none" w:sz="0" w:space="0" w:color="auto"/>
                    <w:bottom w:val="none" w:sz="0" w:space="0" w:color="auto"/>
                    <w:right w:val="none" w:sz="0" w:space="0" w:color="auto"/>
                  </w:divBdr>
                </w:div>
              </w:divsChild>
            </w:div>
            <w:div w:id="79371156">
              <w:marLeft w:val="0"/>
              <w:marRight w:val="0"/>
              <w:marTop w:val="0"/>
              <w:marBottom w:val="0"/>
              <w:divBdr>
                <w:top w:val="none" w:sz="0" w:space="0" w:color="auto"/>
                <w:left w:val="none" w:sz="0" w:space="0" w:color="auto"/>
                <w:bottom w:val="none" w:sz="0" w:space="0" w:color="auto"/>
                <w:right w:val="none" w:sz="0" w:space="0" w:color="auto"/>
              </w:divBdr>
            </w:div>
          </w:divsChild>
        </w:div>
        <w:div w:id="1534926460">
          <w:marLeft w:val="0"/>
          <w:marRight w:val="0"/>
          <w:marTop w:val="0"/>
          <w:marBottom w:val="900"/>
          <w:divBdr>
            <w:top w:val="none" w:sz="0" w:space="0" w:color="auto"/>
            <w:left w:val="none" w:sz="0" w:space="0" w:color="auto"/>
            <w:bottom w:val="none" w:sz="0" w:space="0" w:color="auto"/>
            <w:right w:val="none" w:sz="0" w:space="0" w:color="auto"/>
          </w:divBdr>
          <w:divsChild>
            <w:div w:id="1011252319">
              <w:marLeft w:val="0"/>
              <w:marRight w:val="0"/>
              <w:marTop w:val="0"/>
              <w:marBottom w:val="540"/>
              <w:divBdr>
                <w:top w:val="none" w:sz="0" w:space="0" w:color="auto"/>
                <w:left w:val="none" w:sz="0" w:space="0" w:color="auto"/>
                <w:bottom w:val="none" w:sz="0" w:space="0" w:color="auto"/>
                <w:right w:val="none" w:sz="0" w:space="0" w:color="auto"/>
              </w:divBdr>
            </w:div>
            <w:div w:id="136847868">
              <w:marLeft w:val="0"/>
              <w:marRight w:val="0"/>
              <w:marTop w:val="0"/>
              <w:marBottom w:val="0"/>
              <w:divBdr>
                <w:top w:val="none" w:sz="0" w:space="0" w:color="auto"/>
                <w:left w:val="none" w:sz="0" w:space="0" w:color="auto"/>
                <w:bottom w:val="none" w:sz="0" w:space="0" w:color="auto"/>
                <w:right w:val="none" w:sz="0" w:space="0" w:color="auto"/>
              </w:divBdr>
              <w:divsChild>
                <w:div w:id="1309549928">
                  <w:marLeft w:val="0"/>
                  <w:marRight w:val="0"/>
                  <w:marTop w:val="0"/>
                  <w:marBottom w:val="0"/>
                  <w:divBdr>
                    <w:top w:val="none" w:sz="0" w:space="0" w:color="auto"/>
                    <w:left w:val="none" w:sz="0" w:space="0" w:color="auto"/>
                    <w:bottom w:val="none" w:sz="0" w:space="0" w:color="auto"/>
                    <w:right w:val="none" w:sz="0" w:space="0" w:color="auto"/>
                  </w:divBdr>
                  <w:divsChild>
                    <w:div w:id="1401638209">
                      <w:marLeft w:val="0"/>
                      <w:marRight w:val="0"/>
                      <w:marTop w:val="0"/>
                      <w:marBottom w:val="240"/>
                      <w:divBdr>
                        <w:top w:val="none" w:sz="0" w:space="0" w:color="auto"/>
                        <w:left w:val="none" w:sz="0" w:space="0" w:color="auto"/>
                        <w:bottom w:val="none" w:sz="0" w:space="0" w:color="auto"/>
                        <w:right w:val="none" w:sz="0" w:space="0" w:color="auto"/>
                      </w:divBdr>
                      <w:divsChild>
                        <w:div w:id="20721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224075">
          <w:marLeft w:val="0"/>
          <w:marRight w:val="300"/>
          <w:marTop w:val="0"/>
          <w:marBottom w:val="0"/>
          <w:divBdr>
            <w:top w:val="none" w:sz="0" w:space="0" w:color="auto"/>
            <w:left w:val="none" w:sz="0" w:space="0" w:color="auto"/>
            <w:bottom w:val="none" w:sz="0" w:space="0" w:color="auto"/>
            <w:right w:val="none" w:sz="0" w:space="0" w:color="auto"/>
          </w:divBdr>
          <w:divsChild>
            <w:div w:id="1559394785">
              <w:marLeft w:val="0"/>
              <w:marRight w:val="0"/>
              <w:marTop w:val="0"/>
              <w:marBottom w:val="0"/>
              <w:divBdr>
                <w:top w:val="none" w:sz="0" w:space="0" w:color="auto"/>
                <w:left w:val="none" w:sz="0" w:space="0" w:color="auto"/>
                <w:bottom w:val="none" w:sz="0" w:space="0" w:color="auto"/>
                <w:right w:val="none" w:sz="0" w:space="0" w:color="auto"/>
              </w:divBdr>
              <w:divsChild>
                <w:div w:id="370880438">
                  <w:marLeft w:val="0"/>
                  <w:marRight w:val="0"/>
                  <w:marTop w:val="0"/>
                  <w:marBottom w:val="0"/>
                  <w:divBdr>
                    <w:top w:val="none" w:sz="0" w:space="0" w:color="auto"/>
                    <w:left w:val="none" w:sz="0" w:space="0" w:color="auto"/>
                    <w:bottom w:val="none" w:sz="0" w:space="0" w:color="auto"/>
                    <w:right w:val="none" w:sz="0" w:space="0" w:color="auto"/>
                  </w:divBdr>
                </w:div>
                <w:div w:id="1979603701">
                  <w:marLeft w:val="0"/>
                  <w:marRight w:val="0"/>
                  <w:marTop w:val="0"/>
                  <w:marBottom w:val="0"/>
                  <w:divBdr>
                    <w:top w:val="none" w:sz="0" w:space="0" w:color="auto"/>
                    <w:left w:val="none" w:sz="0" w:space="0" w:color="auto"/>
                    <w:bottom w:val="none" w:sz="0" w:space="0" w:color="auto"/>
                    <w:right w:val="none" w:sz="0" w:space="0" w:color="auto"/>
                  </w:divBdr>
                </w:div>
                <w:div w:id="454105238">
                  <w:marLeft w:val="0"/>
                  <w:marRight w:val="0"/>
                  <w:marTop w:val="0"/>
                  <w:marBottom w:val="0"/>
                  <w:divBdr>
                    <w:top w:val="none" w:sz="0" w:space="0" w:color="auto"/>
                    <w:left w:val="none" w:sz="0" w:space="0" w:color="auto"/>
                    <w:bottom w:val="none" w:sz="0" w:space="0" w:color="auto"/>
                    <w:right w:val="none" w:sz="0" w:space="0" w:color="auto"/>
                  </w:divBdr>
                </w:div>
                <w:div w:id="1287157447">
                  <w:marLeft w:val="0"/>
                  <w:marRight w:val="0"/>
                  <w:marTop w:val="0"/>
                  <w:marBottom w:val="0"/>
                  <w:divBdr>
                    <w:top w:val="none" w:sz="0" w:space="0" w:color="auto"/>
                    <w:left w:val="none" w:sz="0" w:space="0" w:color="auto"/>
                    <w:bottom w:val="none" w:sz="0" w:space="0" w:color="auto"/>
                    <w:right w:val="none" w:sz="0" w:space="0" w:color="auto"/>
                  </w:divBdr>
                </w:div>
                <w:div w:id="1443265407">
                  <w:marLeft w:val="0"/>
                  <w:marRight w:val="0"/>
                  <w:marTop w:val="0"/>
                  <w:marBottom w:val="0"/>
                  <w:divBdr>
                    <w:top w:val="none" w:sz="0" w:space="0" w:color="auto"/>
                    <w:left w:val="none" w:sz="0" w:space="0" w:color="auto"/>
                    <w:bottom w:val="none" w:sz="0" w:space="0" w:color="auto"/>
                    <w:right w:val="none" w:sz="0" w:space="0" w:color="auto"/>
                  </w:divBdr>
                </w:div>
              </w:divsChild>
            </w:div>
            <w:div w:id="122115751">
              <w:marLeft w:val="0"/>
              <w:marRight w:val="0"/>
              <w:marTop w:val="0"/>
              <w:marBottom w:val="0"/>
              <w:divBdr>
                <w:top w:val="none" w:sz="0" w:space="0" w:color="auto"/>
                <w:left w:val="none" w:sz="0" w:space="0" w:color="auto"/>
                <w:bottom w:val="none" w:sz="0" w:space="0" w:color="auto"/>
                <w:right w:val="none" w:sz="0" w:space="0" w:color="auto"/>
              </w:divBdr>
              <w:divsChild>
                <w:div w:id="1517187602">
                  <w:marLeft w:val="0"/>
                  <w:marRight w:val="0"/>
                  <w:marTop w:val="0"/>
                  <w:marBottom w:val="0"/>
                  <w:divBdr>
                    <w:top w:val="none" w:sz="0" w:space="0" w:color="auto"/>
                    <w:left w:val="none" w:sz="0" w:space="0" w:color="auto"/>
                    <w:bottom w:val="none" w:sz="0" w:space="0" w:color="auto"/>
                    <w:right w:val="none" w:sz="0" w:space="0" w:color="auto"/>
                  </w:divBdr>
                </w:div>
                <w:div w:id="910309506">
                  <w:marLeft w:val="0"/>
                  <w:marRight w:val="0"/>
                  <w:marTop w:val="0"/>
                  <w:marBottom w:val="0"/>
                  <w:divBdr>
                    <w:top w:val="none" w:sz="0" w:space="0" w:color="auto"/>
                    <w:left w:val="none" w:sz="0" w:space="0" w:color="auto"/>
                    <w:bottom w:val="none" w:sz="0" w:space="0" w:color="auto"/>
                    <w:right w:val="none" w:sz="0" w:space="0" w:color="auto"/>
                  </w:divBdr>
                  <w:divsChild>
                    <w:div w:id="1097366972">
                      <w:marLeft w:val="0"/>
                      <w:marRight w:val="0"/>
                      <w:marTop w:val="0"/>
                      <w:marBottom w:val="0"/>
                      <w:divBdr>
                        <w:top w:val="none" w:sz="0" w:space="0" w:color="auto"/>
                        <w:left w:val="none" w:sz="0" w:space="0" w:color="auto"/>
                        <w:bottom w:val="none" w:sz="0" w:space="0" w:color="auto"/>
                        <w:right w:val="none" w:sz="0" w:space="0" w:color="auto"/>
                      </w:divBdr>
                      <w:divsChild>
                        <w:div w:id="576134027">
                          <w:marLeft w:val="0"/>
                          <w:marRight w:val="0"/>
                          <w:marTop w:val="0"/>
                          <w:marBottom w:val="0"/>
                          <w:divBdr>
                            <w:top w:val="none" w:sz="0" w:space="0" w:color="auto"/>
                            <w:left w:val="none" w:sz="0" w:space="0" w:color="auto"/>
                            <w:bottom w:val="none" w:sz="0" w:space="0" w:color="auto"/>
                            <w:right w:val="none" w:sz="0" w:space="0" w:color="auto"/>
                          </w:divBdr>
                          <w:divsChild>
                            <w:div w:id="178009910">
                              <w:marLeft w:val="0"/>
                              <w:marRight w:val="0"/>
                              <w:marTop w:val="0"/>
                              <w:marBottom w:val="240"/>
                              <w:divBdr>
                                <w:top w:val="none" w:sz="0" w:space="0" w:color="auto"/>
                                <w:left w:val="none" w:sz="0" w:space="0" w:color="auto"/>
                                <w:bottom w:val="none" w:sz="0" w:space="0" w:color="auto"/>
                                <w:right w:val="none" w:sz="0" w:space="0" w:color="auto"/>
                              </w:divBdr>
                              <w:divsChild>
                                <w:div w:id="12163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622635">
                  <w:marLeft w:val="0"/>
                  <w:marRight w:val="0"/>
                  <w:marTop w:val="0"/>
                  <w:marBottom w:val="0"/>
                  <w:divBdr>
                    <w:top w:val="none" w:sz="0" w:space="0" w:color="auto"/>
                    <w:left w:val="none" w:sz="0" w:space="0" w:color="auto"/>
                    <w:bottom w:val="none" w:sz="0" w:space="0" w:color="auto"/>
                    <w:right w:val="none" w:sz="0" w:space="0" w:color="auto"/>
                  </w:divBdr>
                </w:div>
                <w:div w:id="1358891694">
                  <w:marLeft w:val="0"/>
                  <w:marRight w:val="0"/>
                  <w:marTop w:val="0"/>
                  <w:marBottom w:val="0"/>
                  <w:divBdr>
                    <w:top w:val="none" w:sz="0" w:space="0" w:color="auto"/>
                    <w:left w:val="none" w:sz="0" w:space="0" w:color="auto"/>
                    <w:bottom w:val="none" w:sz="0" w:space="0" w:color="auto"/>
                    <w:right w:val="none" w:sz="0" w:space="0" w:color="auto"/>
                  </w:divBdr>
                </w:div>
                <w:div w:id="1381636190">
                  <w:marLeft w:val="0"/>
                  <w:marRight w:val="0"/>
                  <w:marTop w:val="0"/>
                  <w:marBottom w:val="0"/>
                  <w:divBdr>
                    <w:top w:val="none" w:sz="0" w:space="0" w:color="auto"/>
                    <w:left w:val="none" w:sz="0" w:space="0" w:color="auto"/>
                    <w:bottom w:val="none" w:sz="0" w:space="0" w:color="auto"/>
                    <w:right w:val="none" w:sz="0" w:space="0" w:color="auto"/>
                  </w:divBdr>
                </w:div>
                <w:div w:id="1683124732">
                  <w:marLeft w:val="0"/>
                  <w:marRight w:val="0"/>
                  <w:marTop w:val="0"/>
                  <w:marBottom w:val="0"/>
                  <w:divBdr>
                    <w:top w:val="none" w:sz="0" w:space="0" w:color="auto"/>
                    <w:left w:val="none" w:sz="0" w:space="0" w:color="auto"/>
                    <w:bottom w:val="none" w:sz="0" w:space="0" w:color="auto"/>
                    <w:right w:val="none" w:sz="0" w:space="0" w:color="auto"/>
                  </w:divBdr>
                </w:div>
                <w:div w:id="985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347543">
      <w:bodyDiv w:val="1"/>
      <w:marLeft w:val="0"/>
      <w:marRight w:val="0"/>
      <w:marTop w:val="0"/>
      <w:marBottom w:val="0"/>
      <w:divBdr>
        <w:top w:val="none" w:sz="0" w:space="0" w:color="auto"/>
        <w:left w:val="none" w:sz="0" w:space="0" w:color="auto"/>
        <w:bottom w:val="none" w:sz="0" w:space="0" w:color="auto"/>
        <w:right w:val="none" w:sz="0" w:space="0" w:color="auto"/>
      </w:divBdr>
      <w:divsChild>
        <w:div w:id="1015034702">
          <w:marLeft w:val="0"/>
          <w:marRight w:val="300"/>
          <w:marTop w:val="0"/>
          <w:marBottom w:val="0"/>
          <w:divBdr>
            <w:top w:val="none" w:sz="0" w:space="0" w:color="auto"/>
            <w:left w:val="none" w:sz="0" w:space="0" w:color="auto"/>
            <w:bottom w:val="none" w:sz="0" w:space="0" w:color="auto"/>
            <w:right w:val="none" w:sz="0" w:space="0" w:color="auto"/>
          </w:divBdr>
          <w:divsChild>
            <w:div w:id="1516962580">
              <w:marLeft w:val="0"/>
              <w:marRight w:val="0"/>
              <w:marTop w:val="0"/>
              <w:marBottom w:val="0"/>
              <w:divBdr>
                <w:top w:val="none" w:sz="0" w:space="0" w:color="auto"/>
                <w:left w:val="none" w:sz="0" w:space="0" w:color="auto"/>
                <w:bottom w:val="none" w:sz="0" w:space="0" w:color="auto"/>
                <w:right w:val="none" w:sz="0" w:space="0" w:color="auto"/>
              </w:divBdr>
              <w:divsChild>
                <w:div w:id="794756472">
                  <w:marLeft w:val="0"/>
                  <w:marRight w:val="0"/>
                  <w:marTop w:val="0"/>
                  <w:marBottom w:val="0"/>
                  <w:divBdr>
                    <w:top w:val="none" w:sz="0" w:space="0" w:color="auto"/>
                    <w:left w:val="none" w:sz="0" w:space="0" w:color="auto"/>
                    <w:bottom w:val="none" w:sz="0" w:space="0" w:color="auto"/>
                    <w:right w:val="none" w:sz="0" w:space="0" w:color="auto"/>
                  </w:divBdr>
                </w:div>
              </w:divsChild>
            </w:div>
            <w:div w:id="538736396">
              <w:marLeft w:val="0"/>
              <w:marRight w:val="0"/>
              <w:marTop w:val="0"/>
              <w:marBottom w:val="0"/>
              <w:divBdr>
                <w:top w:val="none" w:sz="0" w:space="0" w:color="auto"/>
                <w:left w:val="none" w:sz="0" w:space="0" w:color="auto"/>
                <w:bottom w:val="none" w:sz="0" w:space="0" w:color="auto"/>
                <w:right w:val="none" w:sz="0" w:space="0" w:color="auto"/>
              </w:divBdr>
            </w:div>
          </w:divsChild>
        </w:div>
        <w:div w:id="1906866394">
          <w:marLeft w:val="0"/>
          <w:marRight w:val="0"/>
          <w:marTop w:val="0"/>
          <w:marBottom w:val="900"/>
          <w:divBdr>
            <w:top w:val="none" w:sz="0" w:space="0" w:color="auto"/>
            <w:left w:val="none" w:sz="0" w:space="0" w:color="auto"/>
            <w:bottom w:val="none" w:sz="0" w:space="0" w:color="auto"/>
            <w:right w:val="none" w:sz="0" w:space="0" w:color="auto"/>
          </w:divBdr>
          <w:divsChild>
            <w:div w:id="1252662975">
              <w:marLeft w:val="0"/>
              <w:marRight w:val="0"/>
              <w:marTop w:val="0"/>
              <w:marBottom w:val="540"/>
              <w:divBdr>
                <w:top w:val="none" w:sz="0" w:space="0" w:color="auto"/>
                <w:left w:val="none" w:sz="0" w:space="0" w:color="auto"/>
                <w:bottom w:val="none" w:sz="0" w:space="0" w:color="auto"/>
                <w:right w:val="none" w:sz="0" w:space="0" w:color="auto"/>
              </w:divBdr>
            </w:div>
            <w:div w:id="458036025">
              <w:marLeft w:val="0"/>
              <w:marRight w:val="0"/>
              <w:marTop w:val="0"/>
              <w:marBottom w:val="0"/>
              <w:divBdr>
                <w:top w:val="none" w:sz="0" w:space="0" w:color="auto"/>
                <w:left w:val="none" w:sz="0" w:space="0" w:color="auto"/>
                <w:bottom w:val="none" w:sz="0" w:space="0" w:color="auto"/>
                <w:right w:val="none" w:sz="0" w:space="0" w:color="auto"/>
              </w:divBdr>
              <w:divsChild>
                <w:div w:id="319771848">
                  <w:marLeft w:val="0"/>
                  <w:marRight w:val="0"/>
                  <w:marTop w:val="0"/>
                  <w:marBottom w:val="0"/>
                  <w:divBdr>
                    <w:top w:val="none" w:sz="0" w:space="0" w:color="auto"/>
                    <w:left w:val="none" w:sz="0" w:space="0" w:color="auto"/>
                    <w:bottom w:val="none" w:sz="0" w:space="0" w:color="auto"/>
                    <w:right w:val="none" w:sz="0" w:space="0" w:color="auto"/>
                  </w:divBdr>
                  <w:divsChild>
                    <w:div w:id="1366298225">
                      <w:marLeft w:val="0"/>
                      <w:marRight w:val="0"/>
                      <w:marTop w:val="0"/>
                      <w:marBottom w:val="240"/>
                      <w:divBdr>
                        <w:top w:val="none" w:sz="0" w:space="0" w:color="auto"/>
                        <w:left w:val="none" w:sz="0" w:space="0" w:color="auto"/>
                        <w:bottom w:val="none" w:sz="0" w:space="0" w:color="auto"/>
                        <w:right w:val="none" w:sz="0" w:space="0" w:color="auto"/>
                      </w:divBdr>
                      <w:divsChild>
                        <w:div w:id="4815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999244">
          <w:marLeft w:val="0"/>
          <w:marRight w:val="300"/>
          <w:marTop w:val="0"/>
          <w:marBottom w:val="0"/>
          <w:divBdr>
            <w:top w:val="none" w:sz="0" w:space="0" w:color="auto"/>
            <w:left w:val="none" w:sz="0" w:space="0" w:color="auto"/>
            <w:bottom w:val="none" w:sz="0" w:space="0" w:color="auto"/>
            <w:right w:val="none" w:sz="0" w:space="0" w:color="auto"/>
          </w:divBdr>
          <w:divsChild>
            <w:div w:id="1573463644">
              <w:marLeft w:val="0"/>
              <w:marRight w:val="0"/>
              <w:marTop w:val="0"/>
              <w:marBottom w:val="0"/>
              <w:divBdr>
                <w:top w:val="none" w:sz="0" w:space="0" w:color="auto"/>
                <w:left w:val="none" w:sz="0" w:space="0" w:color="auto"/>
                <w:bottom w:val="none" w:sz="0" w:space="0" w:color="auto"/>
                <w:right w:val="none" w:sz="0" w:space="0" w:color="auto"/>
              </w:divBdr>
              <w:divsChild>
                <w:div w:id="2037391042">
                  <w:marLeft w:val="0"/>
                  <w:marRight w:val="0"/>
                  <w:marTop w:val="0"/>
                  <w:marBottom w:val="0"/>
                  <w:divBdr>
                    <w:top w:val="none" w:sz="0" w:space="0" w:color="auto"/>
                    <w:left w:val="none" w:sz="0" w:space="0" w:color="auto"/>
                    <w:bottom w:val="none" w:sz="0" w:space="0" w:color="auto"/>
                    <w:right w:val="none" w:sz="0" w:space="0" w:color="auto"/>
                  </w:divBdr>
                </w:div>
                <w:div w:id="2030715658">
                  <w:marLeft w:val="0"/>
                  <w:marRight w:val="0"/>
                  <w:marTop w:val="0"/>
                  <w:marBottom w:val="0"/>
                  <w:divBdr>
                    <w:top w:val="none" w:sz="0" w:space="0" w:color="auto"/>
                    <w:left w:val="none" w:sz="0" w:space="0" w:color="auto"/>
                    <w:bottom w:val="none" w:sz="0" w:space="0" w:color="auto"/>
                    <w:right w:val="none" w:sz="0" w:space="0" w:color="auto"/>
                  </w:divBdr>
                </w:div>
                <w:div w:id="1763453529">
                  <w:marLeft w:val="0"/>
                  <w:marRight w:val="0"/>
                  <w:marTop w:val="0"/>
                  <w:marBottom w:val="0"/>
                  <w:divBdr>
                    <w:top w:val="none" w:sz="0" w:space="0" w:color="auto"/>
                    <w:left w:val="none" w:sz="0" w:space="0" w:color="auto"/>
                    <w:bottom w:val="none" w:sz="0" w:space="0" w:color="auto"/>
                    <w:right w:val="none" w:sz="0" w:space="0" w:color="auto"/>
                  </w:divBdr>
                </w:div>
                <w:div w:id="796098423">
                  <w:marLeft w:val="0"/>
                  <w:marRight w:val="0"/>
                  <w:marTop w:val="0"/>
                  <w:marBottom w:val="0"/>
                  <w:divBdr>
                    <w:top w:val="none" w:sz="0" w:space="0" w:color="auto"/>
                    <w:left w:val="none" w:sz="0" w:space="0" w:color="auto"/>
                    <w:bottom w:val="none" w:sz="0" w:space="0" w:color="auto"/>
                    <w:right w:val="none" w:sz="0" w:space="0" w:color="auto"/>
                  </w:divBdr>
                </w:div>
                <w:div w:id="784691704">
                  <w:marLeft w:val="0"/>
                  <w:marRight w:val="0"/>
                  <w:marTop w:val="0"/>
                  <w:marBottom w:val="0"/>
                  <w:divBdr>
                    <w:top w:val="none" w:sz="0" w:space="0" w:color="auto"/>
                    <w:left w:val="none" w:sz="0" w:space="0" w:color="auto"/>
                    <w:bottom w:val="none" w:sz="0" w:space="0" w:color="auto"/>
                    <w:right w:val="none" w:sz="0" w:space="0" w:color="auto"/>
                  </w:divBdr>
                </w:div>
              </w:divsChild>
            </w:div>
            <w:div w:id="178006137">
              <w:marLeft w:val="0"/>
              <w:marRight w:val="0"/>
              <w:marTop w:val="0"/>
              <w:marBottom w:val="0"/>
              <w:divBdr>
                <w:top w:val="none" w:sz="0" w:space="0" w:color="auto"/>
                <w:left w:val="none" w:sz="0" w:space="0" w:color="auto"/>
                <w:bottom w:val="none" w:sz="0" w:space="0" w:color="auto"/>
                <w:right w:val="none" w:sz="0" w:space="0" w:color="auto"/>
              </w:divBdr>
              <w:divsChild>
                <w:div w:id="482626204">
                  <w:marLeft w:val="0"/>
                  <w:marRight w:val="0"/>
                  <w:marTop w:val="0"/>
                  <w:marBottom w:val="0"/>
                  <w:divBdr>
                    <w:top w:val="none" w:sz="0" w:space="0" w:color="auto"/>
                    <w:left w:val="none" w:sz="0" w:space="0" w:color="auto"/>
                    <w:bottom w:val="none" w:sz="0" w:space="0" w:color="auto"/>
                    <w:right w:val="none" w:sz="0" w:space="0" w:color="auto"/>
                  </w:divBdr>
                </w:div>
                <w:div w:id="896747059">
                  <w:marLeft w:val="0"/>
                  <w:marRight w:val="0"/>
                  <w:marTop w:val="0"/>
                  <w:marBottom w:val="0"/>
                  <w:divBdr>
                    <w:top w:val="none" w:sz="0" w:space="0" w:color="auto"/>
                    <w:left w:val="none" w:sz="0" w:space="0" w:color="auto"/>
                    <w:bottom w:val="none" w:sz="0" w:space="0" w:color="auto"/>
                    <w:right w:val="none" w:sz="0" w:space="0" w:color="auto"/>
                  </w:divBdr>
                  <w:divsChild>
                    <w:div w:id="737096442">
                      <w:marLeft w:val="0"/>
                      <w:marRight w:val="0"/>
                      <w:marTop w:val="0"/>
                      <w:marBottom w:val="0"/>
                      <w:divBdr>
                        <w:top w:val="none" w:sz="0" w:space="0" w:color="auto"/>
                        <w:left w:val="none" w:sz="0" w:space="0" w:color="auto"/>
                        <w:bottom w:val="none" w:sz="0" w:space="0" w:color="auto"/>
                        <w:right w:val="none" w:sz="0" w:space="0" w:color="auto"/>
                      </w:divBdr>
                      <w:divsChild>
                        <w:div w:id="52119995">
                          <w:marLeft w:val="0"/>
                          <w:marRight w:val="0"/>
                          <w:marTop w:val="0"/>
                          <w:marBottom w:val="0"/>
                          <w:divBdr>
                            <w:top w:val="none" w:sz="0" w:space="0" w:color="auto"/>
                            <w:left w:val="none" w:sz="0" w:space="0" w:color="auto"/>
                            <w:bottom w:val="none" w:sz="0" w:space="0" w:color="auto"/>
                            <w:right w:val="none" w:sz="0" w:space="0" w:color="auto"/>
                          </w:divBdr>
                          <w:divsChild>
                            <w:div w:id="1709909645">
                              <w:marLeft w:val="0"/>
                              <w:marRight w:val="0"/>
                              <w:marTop w:val="0"/>
                              <w:marBottom w:val="240"/>
                              <w:divBdr>
                                <w:top w:val="none" w:sz="0" w:space="0" w:color="auto"/>
                                <w:left w:val="none" w:sz="0" w:space="0" w:color="auto"/>
                                <w:bottom w:val="none" w:sz="0" w:space="0" w:color="auto"/>
                                <w:right w:val="none" w:sz="0" w:space="0" w:color="auto"/>
                              </w:divBdr>
                              <w:divsChild>
                                <w:div w:id="154541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359322">
                  <w:marLeft w:val="0"/>
                  <w:marRight w:val="0"/>
                  <w:marTop w:val="0"/>
                  <w:marBottom w:val="0"/>
                  <w:divBdr>
                    <w:top w:val="none" w:sz="0" w:space="0" w:color="auto"/>
                    <w:left w:val="none" w:sz="0" w:space="0" w:color="auto"/>
                    <w:bottom w:val="none" w:sz="0" w:space="0" w:color="auto"/>
                    <w:right w:val="none" w:sz="0" w:space="0" w:color="auto"/>
                  </w:divBdr>
                </w:div>
                <w:div w:id="2087220355">
                  <w:marLeft w:val="0"/>
                  <w:marRight w:val="0"/>
                  <w:marTop w:val="0"/>
                  <w:marBottom w:val="0"/>
                  <w:divBdr>
                    <w:top w:val="none" w:sz="0" w:space="0" w:color="auto"/>
                    <w:left w:val="none" w:sz="0" w:space="0" w:color="auto"/>
                    <w:bottom w:val="none" w:sz="0" w:space="0" w:color="auto"/>
                    <w:right w:val="none" w:sz="0" w:space="0" w:color="auto"/>
                  </w:divBdr>
                </w:div>
                <w:div w:id="1639610845">
                  <w:marLeft w:val="0"/>
                  <w:marRight w:val="0"/>
                  <w:marTop w:val="0"/>
                  <w:marBottom w:val="0"/>
                  <w:divBdr>
                    <w:top w:val="none" w:sz="0" w:space="0" w:color="auto"/>
                    <w:left w:val="none" w:sz="0" w:space="0" w:color="auto"/>
                    <w:bottom w:val="none" w:sz="0" w:space="0" w:color="auto"/>
                    <w:right w:val="none" w:sz="0" w:space="0" w:color="auto"/>
                  </w:divBdr>
                </w:div>
                <w:div w:id="1296106310">
                  <w:marLeft w:val="0"/>
                  <w:marRight w:val="0"/>
                  <w:marTop w:val="0"/>
                  <w:marBottom w:val="0"/>
                  <w:divBdr>
                    <w:top w:val="none" w:sz="0" w:space="0" w:color="auto"/>
                    <w:left w:val="none" w:sz="0" w:space="0" w:color="auto"/>
                    <w:bottom w:val="none" w:sz="0" w:space="0" w:color="auto"/>
                    <w:right w:val="none" w:sz="0" w:space="0" w:color="auto"/>
                  </w:divBdr>
                </w:div>
                <w:div w:id="31584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ey.cnn.com/2012/04/30/news/economy/spain-recession/" TargetMode="External"/><Relationship Id="rId13" Type="http://schemas.openxmlformats.org/officeDocument/2006/relationships/hyperlink" Target="http://uk.reuters.com/article/2012/04/29/uk-britain-cameron-eurozone-idUKBRE83S0AD20120429" TargetMode="External"/><Relationship Id="rId3" Type="http://schemas.openxmlformats.org/officeDocument/2006/relationships/settings" Target="settings.xml"/><Relationship Id="rId7" Type="http://schemas.openxmlformats.org/officeDocument/2006/relationships/hyperlink" Target="http://www.reuters.com/article/2012/04/30/markets-ratings-spanish-banks-idUSWNA612620120430" TargetMode="External"/><Relationship Id="rId12" Type="http://schemas.openxmlformats.org/officeDocument/2006/relationships/hyperlink" Target="http://www.economist.com/node/182855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nytimes.com/2012/04/21/business/global/spain-stings-argentina-over-nationalization-of-repsol-ypf.html" TargetMode="External"/><Relationship Id="rId5" Type="http://schemas.openxmlformats.org/officeDocument/2006/relationships/hyperlink" Target="https://theconversation.com/profiles/remy-davison-2838" TargetMode="Externa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examiner.com/article/tennis-plus-taxes-equals-trouble"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1286</Words>
  <Characters>7078</Characters>
  <Application>Microsoft Office Word</Application>
  <DocSecurity>0</DocSecurity>
  <Lines>58</Lines>
  <Paragraphs>16</Paragraphs>
  <ScaleCrop>false</ScaleCrop>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2024-09-27T09:17:00Z</dcterms:created>
  <dcterms:modified xsi:type="dcterms:W3CDTF">2024-09-27T12:44:00Z</dcterms:modified>
</cp:coreProperties>
</file>